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5E" w:rsidRDefault="00B6045E" w:rsidP="00B6045E">
      <w:pPr>
        <w:spacing w:after="160" w:line="256" w:lineRule="auto"/>
        <w:rPr>
          <w:rFonts w:eastAsiaTheme="majorEastAsia" w:cstheme="majorBidi"/>
          <w:color w:val="2E74B5" w:themeColor="accent1" w:themeShade="BF"/>
          <w:sz w:val="18"/>
          <w:szCs w:val="18"/>
        </w:rPr>
      </w:pPr>
    </w:p>
    <w:p w:rsidR="00B6045E" w:rsidRDefault="00B6045E" w:rsidP="00B6045E">
      <w:pPr>
        <w:pStyle w:val="Titolo2"/>
        <w:ind w:right="-143"/>
        <w:rPr>
          <w:rFonts w:eastAsiaTheme="minorEastAsia"/>
        </w:rPr>
      </w:pPr>
      <w:bookmarkStart w:id="0" w:name="_Toc446321671"/>
      <w:r>
        <w:rPr>
          <w:rFonts w:eastAsiaTheme="minorEastAsia"/>
        </w:rPr>
        <w:t>Giovani NEET tra i 16 e i 29 anni- SUPER bonus occupazionE - trasformazione tirocini programma “Garanzia Giovani”</w:t>
      </w:r>
      <w:bookmarkEnd w:id="0"/>
    </w:p>
    <w:p w:rsidR="00B6045E" w:rsidRDefault="00B6045E" w:rsidP="00B6045E">
      <w:pPr>
        <w:rPr>
          <w:rFonts w:ascii="Calibri" w:eastAsia="MS Mincho" w:hAnsi="Calibri" w:cs="Calibri"/>
          <w:i/>
        </w:rPr>
      </w:pPr>
    </w:p>
    <w:tbl>
      <w:tblPr>
        <w:tblStyle w:val="Grigliatabella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053"/>
      </w:tblGrid>
      <w:tr w:rsidR="00B6045E" w:rsidTr="00B6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Descrizione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Nell’ambito del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Programma operativo nazionale per l’attuazione dell’iniziativa Europea per l’Occupazione dei Giovani - Programma “Garanzia Giovani” </w:t>
            </w:r>
            <w:r>
              <w:rPr>
                <w:rFonts w:ascii="Calibri" w:hAnsi="Calibri" w:cs="Calibri"/>
                <w:sz w:val="18"/>
                <w:szCs w:val="18"/>
              </w:rPr>
              <w:t>è istituito l’incentivo denominato “Super Bonus Occupazione – trasformazione tirocini”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, a favore dei datori di lavoro che assumono </w:t>
            </w:r>
            <w:r>
              <w:rPr>
                <w:rFonts w:ascii="Calibri" w:hAnsi="Calibri" w:cs="Calibri"/>
                <w:sz w:val="18"/>
                <w:szCs w:val="18"/>
              </w:rPr>
              <w:t>un giovane che abbia svolto, ovvero stia svolgendo, un tirocinio curriculare e/o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extracurriculare,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sz w:val="18"/>
                <w:szCs w:val="18"/>
              </w:rPr>
              <w:t>purchè</w:t>
            </w:r>
            <w:proofErr w:type="spellEnd"/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avviato entro il 31 gennaio 2016, </w:t>
            </w:r>
            <w:r>
              <w:rPr>
                <w:rFonts w:ascii="Calibri" w:hAnsi="Calibri" w:cs="Calibri"/>
                <w:sz w:val="18"/>
                <w:szCs w:val="18"/>
              </w:rPr>
              <w:t>nell’ambito de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l Programma stesso; l’importo di tale incentivo varia a seconda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del profilo del soggetto 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(da determinarsi secondo i criteri indicati dal Min. del lav. con il decreto direttoriale n. </w:t>
            </w:r>
            <w:r>
              <w:rPr>
                <w:rFonts w:ascii="Calibri" w:hAnsi="Calibri" w:cs="Calibri"/>
                <w:sz w:val="18"/>
                <w:szCs w:val="18"/>
              </w:rPr>
              <w:t>16/II/2016  del 3 febbraio 20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>)</w:t>
            </w:r>
          </w:p>
        </w:tc>
      </w:tr>
      <w:tr w:rsidR="00B6045E" w:rsidTr="00B6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Tipologia ed entità dell’incentivo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E" w:rsidRDefault="00B6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u w:val="single"/>
                <w:lang w:eastAsia="it-IT"/>
              </w:rPr>
              <w:t xml:space="preserve">Incentivo economico </w:t>
            </w:r>
          </w:p>
          <w:p w:rsidR="00B6045E" w:rsidRDefault="00B6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 xml:space="preserve">L’importo dell’incentivo è determinato dalla classe di </w:t>
            </w:r>
            <w:proofErr w:type="spell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profilazione</w:t>
            </w:r>
            <w:proofErr w:type="spellEnd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 xml:space="preserve"> assegnata al giovane dai Centri per l’Impiego o dagli altri servizi competenti al momento della presa in carico, come da tabella che segue:</w:t>
            </w:r>
          </w:p>
          <w:p w:rsidR="00B6045E" w:rsidRDefault="00B6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</w:pPr>
          </w:p>
          <w:tbl>
            <w:tblPr>
              <w:tblStyle w:val="Grigliatabel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64"/>
              <w:gridCol w:w="1364"/>
              <w:gridCol w:w="1364"/>
              <w:gridCol w:w="1364"/>
              <w:gridCol w:w="1365"/>
            </w:tblGrid>
            <w:tr w:rsidR="00B6045E">
              <w:tc>
                <w:tcPr>
                  <w:tcW w:w="1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>Tipologia di contratti incentivanti</w:t>
                  </w:r>
                </w:p>
              </w:tc>
              <w:tc>
                <w:tcPr>
                  <w:tcW w:w="5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 xml:space="preserve">Bonus assegnati in base al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>profiling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 xml:space="preserve"> del giovane e delle differenze territoriali </w:t>
                  </w:r>
                </w:p>
              </w:tc>
            </w:tr>
            <w:tr w:rsidR="00B6045E">
              <w:tc>
                <w:tcPr>
                  <w:tcW w:w="1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045E" w:rsidRDefault="00B6045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>BASSA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>MEDIA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 xml:space="preserve">ALTA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>MEDIO ALTA</w:t>
                  </w:r>
                </w:p>
              </w:tc>
            </w:tr>
            <w:tr w:rsidR="00B6045E"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 xml:space="preserve">Contratto a tempo indeterminato 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>€ 3.000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>€ 6.000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>€ 9.000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45E" w:rsidRDefault="00B6045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18"/>
                      <w:szCs w:val="18"/>
                      <w:lang w:eastAsia="it-IT"/>
                    </w:rPr>
                    <w:t>€ 12.000</w:t>
                  </w:r>
                </w:p>
              </w:tc>
            </w:tr>
          </w:tbl>
          <w:p w:rsidR="00B6045E" w:rsidRDefault="00B6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B6045E" w:rsidTr="001E4F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Datori di lavoro beneficiari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4F7E" w:rsidRDefault="00032E02" w:rsidP="00032E02">
            <w:pPr>
              <w:spacing w:after="0" w:line="240" w:lineRule="auto"/>
              <w:jc w:val="both"/>
              <w:rPr>
                <w:rFonts w:ascii="Calibri" w:eastAsia="MS Mincho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datori di lavoro che assumono </w:t>
            </w:r>
            <w:r>
              <w:rPr>
                <w:rFonts w:ascii="Calibri" w:hAnsi="Calibri" w:cs="Calibri"/>
                <w:sz w:val="18"/>
                <w:szCs w:val="18"/>
              </w:rPr>
              <w:t>un giovane che abbia svolto, ovvero stia svolgendo, un tirocinio curriculare e/o extracurriculare,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purch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>é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avviato entro il 31 gennaio 2016, </w:t>
            </w:r>
            <w:r>
              <w:rPr>
                <w:rFonts w:ascii="Calibri" w:hAnsi="Calibri" w:cs="Calibri"/>
                <w:sz w:val="18"/>
                <w:szCs w:val="18"/>
              </w:rPr>
              <w:t>nell’ambito de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>l Programma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Garanzia Giovani</w:t>
            </w:r>
          </w:p>
        </w:tc>
      </w:tr>
      <w:tr w:rsidR="00B6045E" w:rsidTr="00B6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sz w:val="18"/>
                <w:szCs w:val="18"/>
              </w:rPr>
              <w:t>Giovani di età compresa tra i 16 e i 29 anni, che abbiano svolto, ovvero stiano svolgendo, un tirocinio curriculare e/o extracurriculare, purch</w:t>
            </w:r>
            <w:r w:rsidR="00032E02">
              <w:rPr>
                <w:rFonts w:ascii="Calibri" w:eastAsia="MS Mincho" w:hAnsi="Calibri" w:cs="Calibri"/>
                <w:sz w:val="18"/>
                <w:szCs w:val="18"/>
              </w:rPr>
              <w:t>é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avviato entro il 31 gennaio 2016, nell’ambito del Programma Garanzia Giovani.</w:t>
            </w:r>
          </w:p>
          <w:p w:rsidR="00B6045E" w:rsidRDefault="00B6045E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sz w:val="18"/>
                <w:szCs w:val="18"/>
              </w:rPr>
              <w:t>Il giovane che ha svolto ovvero svolge il tirocinio, all’inizio del percorso, deve essere in possesso del requisito di NEET.</w:t>
            </w:r>
          </w:p>
        </w:tc>
      </w:tr>
      <w:tr w:rsidR="00B6045E" w:rsidTr="00B6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Tipologia di contratto richiesto</w:t>
            </w: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sz w:val="18"/>
                <w:szCs w:val="18"/>
              </w:rPr>
              <w:t>Il tirocinio deve essere trasformato in un contratto di lavoro a tempo indeterminato, anche a scopo di somministrazione.</w:t>
            </w:r>
          </w:p>
          <w:p w:rsidR="00B6045E" w:rsidRDefault="00B6045E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sz w:val="18"/>
                <w:szCs w:val="18"/>
              </w:rPr>
              <w:t>Il tirocinio curriculare e/o extracurriculare oggetto della trasformazione deve essere finanziato con risorse del Programma “Garanzia Giovani”.</w:t>
            </w:r>
          </w:p>
        </w:tc>
      </w:tr>
      <w:tr w:rsidR="00B6045E" w:rsidTr="00B6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Modalità di accesso e di erogazione dell’incentivo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contextualSpacing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L’incentivo è fruibile in 12 quote mensili di pari importo. In caso di conclusione anticipata del rapporto di lavoro, l’incentivo è proporzionato alla durata effettiva dello stesso.</w:t>
            </w:r>
          </w:p>
        </w:tc>
      </w:tr>
      <w:tr w:rsidR="00B6045E" w:rsidTr="00B6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Natura dell’aiuto e cumulabilità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L’incentivo è riconosciuto nei limiti dell’intensità massima di aiuto previsti dall’art. 32 del regolamento UE n. 651/2014.</w:t>
            </w:r>
          </w:p>
          <w:p w:rsidR="00B6045E" w:rsidRDefault="00B604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MS Mincho" w:hAnsi="Calibri" w:cs="Calibri"/>
                <w:sz w:val="18"/>
                <w:szCs w:val="18"/>
              </w:rPr>
              <w:t>Il “Super Bonus Occupazione – trasformazione tirocini”</w:t>
            </w:r>
            <w:r>
              <w:t xml:space="preserve"> è fr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uibile nel rispetto dei limiti del regime «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  <w:t>minimis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», oltre tali limiti è possibile fruire del bonus solo se ci sono i seguenti requisiti:</w:t>
            </w:r>
          </w:p>
          <w:p w:rsidR="00B6045E" w:rsidRDefault="00B6045E" w:rsidP="006A348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L’assunzione del giovane d'età compresa tra 16 e 24 anni deve comportare un incremento occupazionale netto, ovvero devono ricorrere le condizioni di cui al co. 6</w:t>
            </w:r>
            <w:r>
              <w:rPr>
                <w:rStyle w:val="Rimandonotaapidipagina"/>
                <w:rFonts w:ascii="Calibri" w:eastAsia="Times New Roman" w:hAnsi="Calibri" w:cs="Times New Roman"/>
                <w:sz w:val="18"/>
                <w:szCs w:val="18"/>
                <w:lang w:eastAsia="it-IT"/>
              </w:rPr>
              <w:footnoteReference w:id="1"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;</w:t>
            </w:r>
          </w:p>
          <w:p w:rsidR="00B6045E" w:rsidRDefault="00B6045E" w:rsidP="006A348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nel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caso di  assunzione di  un giovane d'età compresa tra 25 e 29 anni , l'assunzione, oltre a comportare un incremento occupazionale netto ovvero a ricorrere le condizioni di cui al co.6, deve riguardare:</w:t>
            </w:r>
          </w:p>
          <w:p w:rsidR="00B6045E" w:rsidRDefault="00B6045E" w:rsidP="006A348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lastRenderedPageBreak/>
              <w:t>un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giovane che non ha un impiego regolarmente retribuito da almeno sei mesi,</w:t>
            </w:r>
          </w:p>
          <w:p w:rsidR="00B6045E" w:rsidRDefault="00B6045E" w:rsidP="006A348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un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giovane che non sia in possesso di un diploma di istruzione secondaria di II grado o di una qualifica o diploma d'istruzione e formazione professionale o che ha completato la formazione a tempo pieno da non più di due anni e non ha ancora ottenuto il primo impiego regolarmente retribuito,</w:t>
            </w:r>
          </w:p>
          <w:p w:rsidR="00B6045E" w:rsidRDefault="00B6045E" w:rsidP="006A348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un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giovane occupato in professioni o settori caratterizzati da un tasso di disparità uomo-donna che supera almeno del 25% la disparità media uomo-donna in tutti i settori economici dello Stato. </w:t>
            </w:r>
          </w:p>
          <w:p w:rsidR="00B6045E" w:rsidRDefault="00032E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MS Mincho" w:hAnsi="Calibri" w:cs="Calibri"/>
                <w:sz w:val="18"/>
                <w:szCs w:val="18"/>
              </w:rPr>
              <w:t>L’incentivo</w:t>
            </w:r>
            <w:r w:rsidR="00B6045E">
              <w:rPr>
                <w:rFonts w:ascii="Calibri" w:eastAsia="MS Mincho" w:hAnsi="Calibri" w:cs="Calibri"/>
                <w:sz w:val="18"/>
                <w:szCs w:val="18"/>
              </w:rPr>
              <w:t xml:space="preserve"> </w:t>
            </w:r>
            <w:r w:rsidR="00B6045E">
              <w:rPr>
                <w:rFonts w:ascii="Calibri" w:eastAsia="MS Mincho" w:hAnsi="Calibri" w:cs="Courier New"/>
                <w:bCs/>
                <w:sz w:val="18"/>
                <w:szCs w:val="18"/>
              </w:rPr>
              <w:t>è cumulabile con altri incentivi all’assunzione di natura economica o contributiva non selettivi rispetto ai datori di lavoro o ai lavoratori. E’ cumulabile nella misura del 50% dei costi salariali con altri incentivi all’assunzione di natura economica o contributiva aventi natura selettiva.</w:t>
            </w:r>
          </w:p>
          <w:p w:rsidR="00B6045E" w:rsidRDefault="00B604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Pertanto, è cumulabile, senza limitazioni, con </w:t>
            </w:r>
          </w:p>
          <w:p w:rsidR="00B6045E" w:rsidRDefault="00B6045E" w:rsidP="006A34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riduzione dei contributi nella misura del 40 % per un periodi di 24 mesi per le nuove assunzioni con contratto di lavoro a tempo indeterminato effettuate nel corso del 2016.</w:t>
            </w:r>
          </w:p>
          <w:p w:rsidR="00B6045E" w:rsidRDefault="00B604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è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 invece, cumulabile nel limite del 50% dei costi salariali con </w:t>
            </w:r>
          </w:p>
          <w:p w:rsidR="00B6045E" w:rsidRDefault="00B6045E" w:rsidP="006A3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l’incentivo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per l’assunzione di donne prive di impiego regolarmente retribuito da almeno ventiquattro mesi ovvero prive di impiego da almeno sei mesi e residenti in aree svantaggiate;</w:t>
            </w:r>
          </w:p>
          <w:p w:rsidR="00B6045E" w:rsidRDefault="00B6045E" w:rsidP="006A3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l’incentivo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all’assunzione di beneficiari del trattamento Aspi;</w:t>
            </w:r>
          </w:p>
          <w:p w:rsidR="00B6045E" w:rsidRDefault="00B6045E" w:rsidP="006A3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l’incentivo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previsto per l’assunzione di apprendisti, in favore dei datori di lavoro che occupano un numero di addetti pari o inferiore a nove.</w:t>
            </w:r>
          </w:p>
        </w:tc>
      </w:tr>
      <w:tr w:rsidR="00B6045E" w:rsidTr="00B6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lastRenderedPageBreak/>
              <w:t xml:space="preserve">Tempistica e scadenze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L’incentivo è riconosciuto per le assunzioni effettuate dal 1 marzo 2016 e fino al 31 dicembre 2016, nei limiti delle disponibilità allocate.</w:t>
            </w:r>
          </w:p>
          <w:p w:rsidR="00B6045E" w:rsidRDefault="00B6045E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N.B. Il tirocinio deve essere stato avviato entro il 31 gennaio 2016.</w:t>
            </w:r>
          </w:p>
        </w:tc>
      </w:tr>
      <w:tr w:rsidR="00B6045E" w:rsidTr="00B6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Normativa e modulistica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E" w:rsidRDefault="00B6045E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Decreti direttoriali del Ministero del lavoro </w:t>
            </w:r>
            <w:proofErr w:type="spellStart"/>
            <w:r>
              <w:rPr>
                <w:rFonts w:ascii="Calibri" w:eastAsia="MS Mincho" w:hAnsi="Calibri" w:cs="Calibri"/>
                <w:sz w:val="18"/>
                <w:szCs w:val="18"/>
              </w:rPr>
              <w:t>nn</w:t>
            </w:r>
            <w:proofErr w:type="spellEnd"/>
            <w:r>
              <w:rPr>
                <w:rFonts w:ascii="Calibri" w:eastAsia="MS Mincho" w:hAnsi="Calibri" w:cs="Calibri"/>
                <w:sz w:val="18"/>
                <w:szCs w:val="18"/>
              </w:rPr>
              <w:t>. 16/16, 1709/14, 11/15 e 169/15.</w:t>
            </w:r>
          </w:p>
        </w:tc>
      </w:tr>
      <w:tr w:rsidR="00B6045E" w:rsidTr="00855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E" w:rsidRPr="00032E02" w:rsidRDefault="00855D61">
            <w:pPr>
              <w:spacing w:after="0" w:line="240" w:lineRule="auto"/>
              <w:rPr>
                <w:rFonts w:ascii="Calibri" w:eastAsia="MS Mincho" w:hAnsi="Calibri" w:cs="Calibri"/>
                <w:b/>
                <w:color w:val="000000" w:themeColor="text1"/>
                <w:sz w:val="18"/>
                <w:szCs w:val="18"/>
              </w:rPr>
            </w:pPr>
            <w:r w:rsidRPr="00032E02">
              <w:rPr>
                <w:rFonts w:ascii="Calibri" w:eastAsia="MS Mincho" w:hAnsi="Calibri" w:cs="Calibri"/>
                <w:b/>
                <w:color w:val="000000" w:themeColor="text1"/>
                <w:sz w:val="18"/>
                <w:szCs w:val="18"/>
              </w:rPr>
              <w:t>Note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E" w:rsidRDefault="00032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MS Mincho" w:hAnsi="Calibri" w:cs="Courier New"/>
                <w:sz w:val="18"/>
                <w:szCs w:val="18"/>
              </w:rPr>
            </w:pPr>
            <w:r>
              <w:rPr>
                <w:rFonts w:ascii="Calibri" w:eastAsia="MS Mincho" w:hAnsi="Calibri" w:cs="Courier New"/>
                <w:sz w:val="18"/>
                <w:szCs w:val="18"/>
              </w:rPr>
              <w:t>Per tutto quanto non disciplinato dal presente Decreto</w:t>
            </w:r>
            <w:r w:rsidR="00A4624B">
              <w:rPr>
                <w:rFonts w:ascii="Calibri" w:eastAsia="MS Mincho" w:hAnsi="Calibri" w:cs="Courier New"/>
                <w:sz w:val="18"/>
                <w:szCs w:val="18"/>
              </w:rPr>
              <w:t xml:space="preserve"> si applicano, ove compatibili, le disposizioni di cui al Decreto Direttoriale n. 1709/</w:t>
            </w:r>
            <w:proofErr w:type="spellStart"/>
            <w:r w:rsidR="00A4624B">
              <w:rPr>
                <w:rFonts w:ascii="Calibri" w:eastAsia="MS Mincho" w:hAnsi="Calibri" w:cs="Courier New"/>
                <w:sz w:val="18"/>
                <w:szCs w:val="18"/>
              </w:rPr>
              <w:t>Segr</w:t>
            </w:r>
            <w:proofErr w:type="spellEnd"/>
            <w:r w:rsidR="00A4624B">
              <w:rPr>
                <w:rFonts w:ascii="Calibri" w:eastAsia="MS Mincho" w:hAnsi="Calibri" w:cs="Courier New"/>
                <w:sz w:val="18"/>
                <w:szCs w:val="18"/>
              </w:rPr>
              <w:t xml:space="preserve"> D.G./2014 del 8 agosto 2014 e successive modifiche ed integrazioni.</w:t>
            </w:r>
            <w:bookmarkStart w:id="1" w:name="_GoBack"/>
            <w:bookmarkEnd w:id="1"/>
          </w:p>
        </w:tc>
      </w:tr>
    </w:tbl>
    <w:p w:rsidR="00B6045E" w:rsidRDefault="00B6045E" w:rsidP="00B6045E">
      <w:pPr>
        <w:rPr>
          <w:sz w:val="18"/>
          <w:szCs w:val="18"/>
        </w:rPr>
      </w:pPr>
    </w:p>
    <w:p w:rsidR="009104D3" w:rsidRPr="00B6045E" w:rsidRDefault="009104D3">
      <w:pPr>
        <w:rPr>
          <w:sz w:val="18"/>
          <w:szCs w:val="18"/>
        </w:rPr>
      </w:pPr>
    </w:p>
    <w:sectPr w:rsidR="009104D3" w:rsidRPr="00B60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41" w:rsidRDefault="00816E41" w:rsidP="00B6045E">
      <w:pPr>
        <w:spacing w:before="0" w:after="0" w:line="240" w:lineRule="auto"/>
      </w:pPr>
      <w:r>
        <w:separator/>
      </w:r>
    </w:p>
  </w:endnote>
  <w:endnote w:type="continuationSeparator" w:id="0">
    <w:p w:rsidR="00816E41" w:rsidRDefault="00816E41" w:rsidP="00B604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41" w:rsidRDefault="00816E41" w:rsidP="00B6045E">
      <w:pPr>
        <w:spacing w:before="0" w:after="0" w:line="240" w:lineRule="auto"/>
      </w:pPr>
      <w:r>
        <w:separator/>
      </w:r>
    </w:p>
  </w:footnote>
  <w:footnote w:type="continuationSeparator" w:id="0">
    <w:p w:rsidR="00816E41" w:rsidRDefault="00816E41" w:rsidP="00B6045E">
      <w:pPr>
        <w:spacing w:before="0" w:after="0" w:line="240" w:lineRule="auto"/>
      </w:pPr>
      <w:r>
        <w:continuationSeparator/>
      </w:r>
    </w:p>
  </w:footnote>
  <w:footnote w:id="1">
    <w:p w:rsidR="00B6045E" w:rsidRDefault="00B6045E" w:rsidP="00B6045E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Il requisito 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>dell’incremento non è previsto per i casi in cui il posto o i posti occupati sono resi vacanti in seguito a dimissioni volontarie, invalidità, pensionamento per raggiunti limiti d’età, riduzione volontaria dell’orario di lavoro o licenziamento per giusta causa e non in seguito a licenziamenti per riduzione del personale.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5ADE"/>
    <w:multiLevelType w:val="hybridMultilevel"/>
    <w:tmpl w:val="87DA2410"/>
    <w:lvl w:ilvl="0" w:tplc="4E56D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0DCA"/>
    <w:multiLevelType w:val="hybridMultilevel"/>
    <w:tmpl w:val="21503C6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E"/>
    <w:rsid w:val="00032E02"/>
    <w:rsid w:val="001E4F7E"/>
    <w:rsid w:val="0036280B"/>
    <w:rsid w:val="00816E41"/>
    <w:rsid w:val="00855D61"/>
    <w:rsid w:val="009104D3"/>
    <w:rsid w:val="00A4624B"/>
    <w:rsid w:val="00B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2AD6-6F38-48A5-A620-E5D332C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45E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olo2">
    <w:name w:val="heading 2"/>
    <w:aliases w:val="Titolo 3."/>
    <w:basedOn w:val="Normale"/>
    <w:next w:val="Normale"/>
    <w:link w:val="Titolo2Carattere"/>
    <w:uiPriority w:val="9"/>
    <w:semiHidden/>
    <w:unhideWhenUsed/>
    <w:qFormat/>
    <w:rsid w:val="00B6045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5B9BD5" w:themeFill="accent1"/>
      <w:spacing w:after="0"/>
      <w:outlineLvl w:val="1"/>
    </w:pPr>
    <w:rPr>
      <w:rFonts w:eastAsia="Times New Roman" w:cs="Times New Roman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itolo 3. Carattere"/>
    <w:basedOn w:val="Carpredefinitoparagrafo"/>
    <w:link w:val="Titolo2"/>
    <w:uiPriority w:val="9"/>
    <w:semiHidden/>
    <w:rsid w:val="00B6045E"/>
    <w:rPr>
      <w:rFonts w:eastAsia="Times New Roman" w:cs="Times New Roman"/>
      <w:caps/>
      <w:color w:val="FFFFFF" w:themeColor="background1"/>
      <w:spacing w:val="15"/>
      <w:sz w:val="20"/>
      <w:szCs w:val="20"/>
      <w:shd w:val="clear" w:color="auto" w:fill="5B9BD5" w:themeFill="accent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045E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045E"/>
    <w:rPr>
      <w:rFonts w:eastAsiaTheme="minorEastAsi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6045E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B6045E"/>
    <w:rPr>
      <w:vertAlign w:val="superscript"/>
    </w:rPr>
  </w:style>
  <w:style w:type="table" w:styleId="Grigliatabella">
    <w:name w:val="Table Grid"/>
    <w:basedOn w:val="Tabellanormale"/>
    <w:uiPriority w:val="59"/>
    <w:rsid w:val="00B6045E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Aureli</dc:creator>
  <cp:keywords/>
  <dc:description/>
  <cp:lastModifiedBy>Veronica Aureli</cp:lastModifiedBy>
  <cp:revision>2</cp:revision>
  <dcterms:created xsi:type="dcterms:W3CDTF">2016-03-23T13:04:00Z</dcterms:created>
  <dcterms:modified xsi:type="dcterms:W3CDTF">2016-03-23T13:54:00Z</dcterms:modified>
</cp:coreProperties>
</file>